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D4" w:rsidRPr="003600C0" w:rsidRDefault="00D51694" w:rsidP="00D516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Jo</w:t>
      </w:r>
      <w:r w:rsidR="008C11D4" w:rsidRPr="003600C0">
        <w:rPr>
          <w:rFonts w:ascii="Times New Roman" w:hAnsi="Times New Roman" w:cs="Times New Roman"/>
          <w:sz w:val="24"/>
          <w:szCs w:val="24"/>
        </w:rPr>
        <w:t>s</w:t>
      </w:r>
      <w:r w:rsidRPr="003600C0">
        <w:rPr>
          <w:rFonts w:ascii="Times New Roman" w:hAnsi="Times New Roman" w:cs="Times New Roman"/>
          <w:sz w:val="24"/>
          <w:szCs w:val="24"/>
        </w:rPr>
        <w:t>i</w:t>
      </w:r>
      <w:r w:rsidR="008C11D4" w:rsidRPr="003600C0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8C11D4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1D4" w:rsidRPr="003600C0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="008C11D4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1D4" w:rsidRPr="003600C0">
        <w:rPr>
          <w:rFonts w:ascii="Times New Roman" w:hAnsi="Times New Roman" w:cs="Times New Roman"/>
          <w:sz w:val="24"/>
          <w:szCs w:val="24"/>
        </w:rPr>
        <w:t>Strossmayera</w:t>
      </w:r>
      <w:proofErr w:type="spellEnd"/>
      <w:r w:rsidR="008C11D4" w:rsidRPr="00360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11D4" w:rsidRPr="003600C0">
        <w:rPr>
          <w:rFonts w:ascii="Times New Roman" w:hAnsi="Times New Roman" w:cs="Times New Roman"/>
          <w:sz w:val="24"/>
          <w:szCs w:val="24"/>
        </w:rPr>
        <w:t>Osijeku</w:t>
      </w:r>
      <w:proofErr w:type="spellEnd"/>
    </w:p>
    <w:p w:rsidR="00BC78C0" w:rsidRPr="003600C0" w:rsidRDefault="009A33C7" w:rsidP="00D516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odgojne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94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znanosti</w:t>
      </w:r>
      <w:proofErr w:type="spellEnd"/>
    </w:p>
    <w:p w:rsidR="008C11D4" w:rsidRPr="003600C0" w:rsidRDefault="008C11D4" w:rsidP="00D516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Poslijediplomski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sveučilišni</w:t>
      </w:r>
      <w:proofErr w:type="spellEnd"/>
      <w:r w:rsidR="00746B40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0C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doktorski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studij</w:t>
      </w:r>
      <w:proofErr w:type="spellEnd"/>
      <w:r w:rsidRPr="00360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i/>
          <w:sz w:val="24"/>
          <w:szCs w:val="24"/>
        </w:rPr>
        <w:t>Obrazovne</w:t>
      </w:r>
      <w:proofErr w:type="spellEnd"/>
      <w:r w:rsidRPr="00360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i/>
          <w:sz w:val="24"/>
          <w:szCs w:val="24"/>
        </w:rPr>
        <w:t>znanosti</w:t>
      </w:r>
      <w:proofErr w:type="spellEnd"/>
      <w:r w:rsidRPr="00360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1694" w:rsidRPr="003600C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360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i/>
          <w:sz w:val="24"/>
          <w:szCs w:val="24"/>
        </w:rPr>
        <w:t>perspe</w:t>
      </w:r>
      <w:r w:rsidR="00D51694" w:rsidRPr="003600C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3600C0">
        <w:rPr>
          <w:rFonts w:ascii="Times New Roman" w:hAnsi="Times New Roman" w:cs="Times New Roman"/>
          <w:b/>
          <w:i/>
          <w:sz w:val="24"/>
          <w:szCs w:val="24"/>
        </w:rPr>
        <w:t>tive</w:t>
      </w:r>
      <w:proofErr w:type="spellEnd"/>
      <w:r w:rsidRPr="00360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i/>
          <w:sz w:val="24"/>
          <w:szCs w:val="24"/>
        </w:rPr>
        <w:t>obrazovanja</w:t>
      </w:r>
      <w:proofErr w:type="spellEnd"/>
    </w:p>
    <w:p w:rsidR="00D51694" w:rsidRPr="003600C0" w:rsidRDefault="00D51694" w:rsidP="00D516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4361" w:rsidRPr="003600C0" w:rsidRDefault="00B44361" w:rsidP="00D516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4361" w:rsidRPr="003600C0" w:rsidRDefault="00B44361" w:rsidP="00D516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7C5A" w:rsidRPr="003600C0" w:rsidRDefault="00D51694" w:rsidP="00AD7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C0">
        <w:rPr>
          <w:rFonts w:ascii="Times New Roman" w:hAnsi="Times New Roman" w:cs="Times New Roman"/>
          <w:b/>
          <w:sz w:val="24"/>
          <w:szCs w:val="24"/>
        </w:rPr>
        <w:t>SMJERNICE ZA ZAVRŠETAK PRVE GODINE STUDIJA</w:t>
      </w:r>
    </w:p>
    <w:p w:rsidR="00AD7C5A" w:rsidRPr="003600C0" w:rsidRDefault="006F0B73" w:rsidP="00AD7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0C0"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akademskoj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godini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2020./21.</w:t>
      </w:r>
    </w:p>
    <w:p w:rsidR="00AD7C5A" w:rsidRPr="003600C0" w:rsidRDefault="00AD7C5A" w:rsidP="00AD7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C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3600C0">
        <w:rPr>
          <w:rFonts w:ascii="Times New Roman" w:hAnsi="Times New Roman" w:cs="Times New Roman"/>
          <w:b/>
          <w:sz w:val="24"/>
          <w:szCs w:val="24"/>
        </w:rPr>
        <w:t>prema</w:t>
      </w:r>
      <w:proofErr w:type="spellEnd"/>
      <w:proofErr w:type="gram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Pravilima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izvođenje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Poslijediplomskog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sveučilišnog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doktorskog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361" w:rsidRPr="003600C0" w:rsidRDefault="00AD7C5A" w:rsidP="00AD7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Obrazovne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znanosti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perspektive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obrazovanja</w:t>
      </w:r>
      <w:proofErr w:type="spellEnd"/>
      <w:r w:rsidR="00746B40" w:rsidRPr="003600C0">
        <w:rPr>
          <w:rFonts w:ascii="Times New Roman" w:hAnsi="Times New Roman" w:cs="Times New Roman"/>
          <w:b/>
          <w:sz w:val="24"/>
          <w:szCs w:val="24"/>
        </w:rPr>
        <w:t>)</w:t>
      </w:r>
    </w:p>
    <w:p w:rsidR="00B44361" w:rsidRPr="003600C0" w:rsidRDefault="00B44361" w:rsidP="00B44361">
      <w:pPr>
        <w:rPr>
          <w:rFonts w:ascii="Times New Roman" w:hAnsi="Times New Roman" w:cs="Times New Roman"/>
          <w:sz w:val="24"/>
          <w:szCs w:val="24"/>
        </w:rPr>
      </w:pPr>
    </w:p>
    <w:p w:rsidR="00AF4D62" w:rsidRPr="003600C0" w:rsidRDefault="00AF4D62" w:rsidP="00AD7C5A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Općenito o obvezama </w:t>
      </w:r>
      <w:proofErr w:type="spellStart"/>
      <w:r w:rsidRPr="003600C0">
        <w:rPr>
          <w:rFonts w:ascii="Times New Roman" w:hAnsi="Times New Roman" w:cs="Times New Roman"/>
          <w:sz w:val="24"/>
          <w:szCs w:val="24"/>
          <w:u w:val="single"/>
          <w:lang w:val="hr-HR"/>
        </w:rPr>
        <w:t>doktoranada</w:t>
      </w:r>
      <w:proofErr w:type="spellEnd"/>
    </w:p>
    <w:p w:rsidR="00AD7C5A" w:rsidRPr="003600C0" w:rsidRDefault="00AD7C5A" w:rsidP="00AD7C5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Program studija vre</w:t>
      </w:r>
      <w:r w:rsidR="00DC6FFD" w:rsidRPr="003600C0">
        <w:rPr>
          <w:rFonts w:ascii="Times New Roman" w:hAnsi="Times New Roman" w:cs="Times New Roman"/>
          <w:sz w:val="24"/>
          <w:szCs w:val="24"/>
          <w:lang w:val="hr-HR"/>
        </w:rPr>
        <w:t xml:space="preserve">dnuje se bodovnim ECTS sustavom, </w:t>
      </w:r>
      <w:r w:rsidRPr="003600C0">
        <w:rPr>
          <w:rFonts w:ascii="Times New Roman" w:hAnsi="Times New Roman" w:cs="Times New Roman"/>
          <w:sz w:val="24"/>
          <w:szCs w:val="24"/>
          <w:lang w:val="hr-HR"/>
        </w:rPr>
        <w:t>a tijekom studija student -</w:t>
      </w:r>
      <w:r w:rsidR="00DC6FFD" w:rsidRPr="003600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00C0">
        <w:rPr>
          <w:rFonts w:ascii="Times New Roman" w:hAnsi="Times New Roman" w:cs="Times New Roman"/>
          <w:sz w:val="24"/>
          <w:szCs w:val="24"/>
          <w:lang w:val="hr-HR"/>
        </w:rPr>
        <w:t xml:space="preserve">doktorand mora prikupiti 180 ECTS bodova. </w:t>
      </w:r>
    </w:p>
    <w:p w:rsidR="00AD7C5A" w:rsidRPr="003600C0" w:rsidRDefault="00AD7C5A" w:rsidP="00AD7C5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ECTS bodovi tijekom studija prikupljaju se aktivnostima svrstanim u tri skupine:</w:t>
      </w:r>
    </w:p>
    <w:p w:rsidR="00AD7C5A" w:rsidRPr="003600C0" w:rsidRDefault="00AD7C5A" w:rsidP="00AD7C5A">
      <w:pPr>
        <w:pStyle w:val="Odlomakpopisa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bodovi koji se odnose na obvezne i izborne kolegije,</w:t>
      </w:r>
    </w:p>
    <w:p w:rsidR="00AD7C5A" w:rsidRPr="003600C0" w:rsidRDefault="00AD7C5A" w:rsidP="00AD7C5A">
      <w:pPr>
        <w:pStyle w:val="Odlomakpopisa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bodovi koji se odnose na mentorsko praćenje rada kroz cijelo trajanje studija (izrada  seminarskih radova, konzultacije s mentorom, izrada nacrta i obrana doktorskog rada),</w:t>
      </w:r>
    </w:p>
    <w:p w:rsidR="00AD7C5A" w:rsidRPr="003600C0" w:rsidRDefault="00AD7C5A" w:rsidP="00AD7C5A">
      <w:pPr>
        <w:pStyle w:val="Odlomakpopisa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bodovi koji se odnose na izvannastavne znanstveno-istraživačke aktivnosti i izlaganja na znanstvenim skupovima i konferencijama, objavljivanje u znanstvenim časopisima.</w:t>
      </w:r>
    </w:p>
    <w:p w:rsidR="00AD7C5A" w:rsidRPr="003600C0" w:rsidRDefault="00AD7C5A" w:rsidP="00AD7C5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Raspodjela obveza u odnosu na nastavu na obveznim i izbornim kolegijima te ostale izvannastavne aktivnosti je sljedeća:</w:t>
      </w:r>
    </w:p>
    <w:p w:rsidR="00AD7C5A" w:rsidRPr="003600C0" w:rsidRDefault="00AD7C5A" w:rsidP="00AD7C5A">
      <w:pPr>
        <w:pStyle w:val="Odlomakpopisa"/>
        <w:numPr>
          <w:ilvl w:val="0"/>
          <w:numId w:val="5"/>
        </w:numPr>
        <w:ind w:left="18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nastavne aktivnosti – ukupno 37 ili više ECTS bodova:</w:t>
      </w:r>
    </w:p>
    <w:p w:rsidR="00AD7C5A" w:rsidRPr="003600C0" w:rsidRDefault="00AD7C5A" w:rsidP="00AD7C5A">
      <w:pPr>
        <w:pStyle w:val="Odlomakpopisa"/>
        <w:numPr>
          <w:ilvl w:val="0"/>
          <w:numId w:val="6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ispunjavanje zahtjeva obveznih kolegija – minimalno 25 ECTS bodova,</w:t>
      </w:r>
    </w:p>
    <w:p w:rsidR="00AD7C5A" w:rsidRPr="003600C0" w:rsidRDefault="00AD7C5A" w:rsidP="00AD7C5A">
      <w:pPr>
        <w:pStyle w:val="Odlomakpopisa"/>
        <w:numPr>
          <w:ilvl w:val="0"/>
          <w:numId w:val="6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ispunjavanje obveza izbornih kolegija – minimalno 12 ECTS bodova.</w:t>
      </w:r>
    </w:p>
    <w:p w:rsidR="00AD7C5A" w:rsidRPr="003600C0" w:rsidRDefault="00AD7C5A" w:rsidP="00AD7C5A">
      <w:pPr>
        <w:pStyle w:val="Odlomakpopisa"/>
        <w:numPr>
          <w:ilvl w:val="0"/>
          <w:numId w:val="5"/>
        </w:numPr>
        <w:ind w:left="18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 xml:space="preserve">izvannastavne aktivnosti (rad na doktorskom radu, sudjelovanje na znanstvenim konferencijama, istraživački rad) – ukupno 143 </w:t>
      </w:r>
      <w:r w:rsidRPr="003600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ili</w:t>
      </w:r>
      <w:r w:rsidRPr="003600C0">
        <w:rPr>
          <w:rFonts w:ascii="Times New Roman" w:hAnsi="Times New Roman" w:cs="Times New Roman"/>
          <w:sz w:val="24"/>
          <w:szCs w:val="24"/>
          <w:lang w:val="hr-HR"/>
        </w:rPr>
        <w:t xml:space="preserve"> više ECTS boda:</w:t>
      </w:r>
    </w:p>
    <w:p w:rsidR="00AD7C5A" w:rsidRPr="003600C0" w:rsidRDefault="00AD7C5A" w:rsidP="00AD7C5A">
      <w:pPr>
        <w:pStyle w:val="Odlomakpopisa"/>
        <w:numPr>
          <w:ilvl w:val="0"/>
          <w:numId w:val="7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bodovi za publikaciju (kvalifikacijski rad) – minimalno 8 ECTS bodova,</w:t>
      </w:r>
    </w:p>
    <w:p w:rsidR="00AD7C5A" w:rsidRPr="003600C0" w:rsidRDefault="00AD7C5A" w:rsidP="00AD7C5A">
      <w:pPr>
        <w:pStyle w:val="Odlomakpopisa"/>
        <w:numPr>
          <w:ilvl w:val="0"/>
          <w:numId w:val="7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individualni rad s mentorom – minimalno 20 ECTS bodova,</w:t>
      </w:r>
    </w:p>
    <w:p w:rsidR="00AD7C5A" w:rsidRPr="003600C0" w:rsidRDefault="00AD7C5A" w:rsidP="00AD7C5A">
      <w:pPr>
        <w:pStyle w:val="Odlomakpopisa"/>
        <w:numPr>
          <w:ilvl w:val="0"/>
          <w:numId w:val="7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istraživački rad s mentorom – minimalno 35 ECTS bodova,</w:t>
      </w:r>
    </w:p>
    <w:p w:rsidR="00AD7C5A" w:rsidRPr="003600C0" w:rsidRDefault="00AD7C5A" w:rsidP="00AD7C5A">
      <w:pPr>
        <w:pStyle w:val="Odlomakpopisa"/>
        <w:numPr>
          <w:ilvl w:val="0"/>
          <w:numId w:val="7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sudjelovanje s izlaganjem na znanstvenim skupovima: obvezno tri domaća ili jedan međunarodni, radionice – minimalno 60 ECTS bodova,</w:t>
      </w:r>
    </w:p>
    <w:p w:rsidR="00AD7C5A" w:rsidRPr="003600C0" w:rsidRDefault="00AD7C5A" w:rsidP="00AD7C5A">
      <w:pPr>
        <w:pStyle w:val="Odlomakpopisa"/>
        <w:numPr>
          <w:ilvl w:val="0"/>
          <w:numId w:val="7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priprema i javno predstavljanje doktorskog nacrta (sinopsisa) – 10 ECTS bodova,</w:t>
      </w:r>
    </w:p>
    <w:p w:rsidR="00AD7C5A" w:rsidRPr="003600C0" w:rsidRDefault="00AD7C5A" w:rsidP="00AD7C5A">
      <w:pPr>
        <w:pStyle w:val="Odlomakpopisa"/>
        <w:numPr>
          <w:ilvl w:val="0"/>
          <w:numId w:val="7"/>
        </w:numPr>
        <w:ind w:left="25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obrana doktorskoga rada – 10 ECTS bodova.</w:t>
      </w:r>
    </w:p>
    <w:p w:rsidR="00AD7C5A" w:rsidRPr="003600C0" w:rsidRDefault="00AD7C5A" w:rsidP="00AD7C5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7C5A" w:rsidRPr="003600C0" w:rsidRDefault="00AD7C5A" w:rsidP="00AD7C5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7C5A" w:rsidRPr="003600C0" w:rsidRDefault="00AD7C5A" w:rsidP="00AD7C5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 xml:space="preserve"> ECTS bodovi studentu Doktorskog studija dodjeljuju se  na temelju položenih obveznih i izbornih kolegija te izvannastavnih aktivnosti</w:t>
      </w:r>
    </w:p>
    <w:p w:rsidR="00AD7C5A" w:rsidRPr="003600C0" w:rsidRDefault="00AD7C5A" w:rsidP="00AD7C5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lang w:val="hr-HR"/>
        </w:rPr>
        <w:t>Tablični prikaz obveznih i izbornih aktivnosti i njihova vrijednost u ECTS bodovima: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"/>
        <w:gridCol w:w="6989"/>
        <w:gridCol w:w="1096"/>
        <w:gridCol w:w="936"/>
      </w:tblGrid>
      <w:tr w:rsidR="00AD7C5A" w:rsidRPr="003600C0" w:rsidTr="004E358F">
        <w:trPr>
          <w:trHeight w:val="165"/>
        </w:trPr>
        <w:tc>
          <w:tcPr>
            <w:tcW w:w="7652" w:type="dxa"/>
            <w:gridSpan w:val="2"/>
            <w:vMerge w:val="restart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</w:t>
            </w:r>
          </w:p>
        </w:tc>
      </w:tr>
      <w:tr w:rsidR="00AD7C5A" w:rsidRPr="003600C0" w:rsidTr="004E358F">
        <w:trPr>
          <w:trHeight w:val="105"/>
        </w:trPr>
        <w:tc>
          <w:tcPr>
            <w:tcW w:w="7652" w:type="dxa"/>
            <w:gridSpan w:val="2"/>
            <w:vMerge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Pojedina aktivnost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</w:tr>
      <w:tr w:rsidR="00AD7C5A" w:rsidRPr="003600C0" w:rsidTr="004E358F">
        <w:trPr>
          <w:trHeight w:val="105"/>
        </w:trPr>
        <w:tc>
          <w:tcPr>
            <w:tcW w:w="7652" w:type="dxa"/>
            <w:gridSpan w:val="2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aktivnosti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96"/>
        </w:trPr>
        <w:tc>
          <w:tcPr>
            <w:tcW w:w="336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 kolegiji</w:t>
            </w:r>
          </w:p>
        </w:tc>
        <w:tc>
          <w:tcPr>
            <w:tcW w:w="876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</w:tr>
      <w:tr w:rsidR="00AD7C5A" w:rsidRPr="003600C0" w:rsidTr="004E358F">
        <w:trPr>
          <w:trHeight w:val="165"/>
        </w:trPr>
        <w:tc>
          <w:tcPr>
            <w:tcW w:w="336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kolegiji</w:t>
            </w:r>
          </w:p>
        </w:tc>
        <w:tc>
          <w:tcPr>
            <w:tcW w:w="876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</w:p>
        </w:tc>
      </w:tr>
      <w:tr w:rsidR="00AD7C5A" w:rsidRPr="003600C0" w:rsidTr="004E358F">
        <w:trPr>
          <w:trHeight w:val="165"/>
        </w:trPr>
        <w:tc>
          <w:tcPr>
            <w:tcW w:w="7652" w:type="dxa"/>
            <w:gridSpan w:val="2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Izvannastavne aktivnosti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562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Individualni rad s mentorom – izložena dva seminarska rada  na Danima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doktoranada</w:t>
            </w:r>
            <w:proofErr w:type="spellEnd"/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10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  <w:tr w:rsidR="00AD7C5A" w:rsidRPr="003600C0" w:rsidTr="004E358F">
        <w:trPr>
          <w:trHeight w:val="96"/>
        </w:trPr>
        <w:tc>
          <w:tcPr>
            <w:tcW w:w="336" w:type="dxa"/>
            <w:shd w:val="clear" w:color="auto" w:fill="D0CECE" w:themeFill="background2" w:themeFillShade="E6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  <w:shd w:val="clear" w:color="auto" w:fill="D0CECE" w:themeFill="background2" w:themeFillShade="E6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Znanstveno-istraživački rad s mentorom*</w:t>
            </w:r>
          </w:p>
        </w:tc>
        <w:tc>
          <w:tcPr>
            <w:tcW w:w="876" w:type="dxa"/>
            <w:shd w:val="clear" w:color="auto" w:fill="D0CECE" w:themeFill="background2" w:themeFillShade="E6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</w:p>
        </w:tc>
      </w:tr>
      <w:tr w:rsidR="00AD7C5A" w:rsidRPr="003600C0" w:rsidTr="004E358F">
        <w:trPr>
          <w:trHeight w:val="126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zastupljen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sekundarnim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publikacijama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26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zborniku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međunarodnog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znanstvenog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skupa</w:t>
            </w:r>
            <w:proofErr w:type="spellEnd"/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26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zborniku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domaćeg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znanstvenog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skupa</w:t>
            </w:r>
            <w:proofErr w:type="spellEnd"/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26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Autorstvo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35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Suautorstvo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knjizi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35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Poglavlje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</w:rPr>
              <w:t>knjizi</w:t>
            </w:r>
            <w:proofErr w:type="spellEnd"/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c>
          <w:tcPr>
            <w:tcW w:w="33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Publikacija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AD7C5A" w:rsidRPr="003600C0" w:rsidTr="004E358F">
        <w:trPr>
          <w:trHeight w:val="350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Rad iz teme doktorskoga rada zastupljen u publikacijama – kategorija A1,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WoS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CC ili </w:t>
            </w: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Scopus</w:t>
            </w:r>
            <w:proofErr w:type="spellEnd"/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AD7C5A" w:rsidRPr="003600C0" w:rsidTr="004E358F">
        <w:trPr>
          <w:trHeight w:val="105"/>
        </w:trPr>
        <w:tc>
          <w:tcPr>
            <w:tcW w:w="336" w:type="dxa"/>
            <w:shd w:val="clear" w:color="auto" w:fill="D0CECE" w:themeFill="background2" w:themeFillShade="E6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Znanstveno-istraživačka aktivnost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</w:tr>
      <w:tr w:rsidR="00AD7C5A" w:rsidRPr="003600C0" w:rsidTr="004E358F">
        <w:trPr>
          <w:trHeight w:val="126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Usmeno izlaganje na međunarodnom znanstvenom skupu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50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Usmeno izlaganje na domaćem znanstvenom skupu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05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Poster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međunarodnom znanstvenom skupu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11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Poster</w:t>
            </w:r>
            <w:proofErr w:type="spellEnd"/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domaćem znanstvenom skupu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50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 sudjelovanje na  znanstvenim radionicama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35"/>
        </w:trPr>
        <w:tc>
          <w:tcPr>
            <w:tcW w:w="336" w:type="dxa"/>
            <w:shd w:val="clear" w:color="auto" w:fill="FFFFFF" w:themeFill="background1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  <w:shd w:val="clear" w:color="auto" w:fill="FFFFFF" w:themeFill="background1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Istraživač na međunarodnom znanstvenom projektu</w:t>
            </w:r>
          </w:p>
        </w:tc>
        <w:tc>
          <w:tcPr>
            <w:tcW w:w="876" w:type="dxa"/>
            <w:shd w:val="clear" w:color="auto" w:fill="FFFFFF" w:themeFill="background1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822" w:type="dxa"/>
            <w:shd w:val="clear" w:color="auto" w:fill="FFFFFF" w:themeFill="background1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50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Istraživač na domaćem znanstvenom projektu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50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Usavršavanje na drugom Sveučilištu/Institutu u inozemstvu  vezano uz temu doktorskoga rada (minimalno 15 dana)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4 - 6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35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Usavršavanje na drugom Sveučilištu/Institutu u Republici Hrvatskoj vezano uz temu doktorskog rada (minimalno 15 dana)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4 - 6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26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Nagrade i priznanja za znanstveni rad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35"/>
        </w:trPr>
        <w:tc>
          <w:tcPr>
            <w:tcW w:w="33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Doktorski rad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50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Prijava i javno predstavljanje teme doktorskog rada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7C5A" w:rsidRPr="003600C0" w:rsidTr="004E358F">
        <w:trPr>
          <w:trHeight w:val="111"/>
        </w:trPr>
        <w:tc>
          <w:tcPr>
            <w:tcW w:w="33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1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Obrana doktorskog rada</w:t>
            </w:r>
          </w:p>
        </w:tc>
        <w:tc>
          <w:tcPr>
            <w:tcW w:w="876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00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822" w:type="dxa"/>
          </w:tcPr>
          <w:p w:rsidR="00AD7C5A" w:rsidRPr="003600C0" w:rsidRDefault="00AD7C5A" w:rsidP="004E3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D7C5A" w:rsidRPr="003600C0" w:rsidRDefault="00AD7C5A" w:rsidP="00AD7C5A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</w:p>
    <w:p w:rsidR="00AD7C5A" w:rsidRPr="003600C0" w:rsidRDefault="00AD7C5A" w:rsidP="00AD7C5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0C0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* obvezno 3 izlaganja na međunarodnom ili 9 na domaćim skupovima</w:t>
      </w:r>
    </w:p>
    <w:p w:rsidR="00AF4D62" w:rsidRPr="003600C0" w:rsidRDefault="00AF4D62" w:rsidP="00AF4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Obveze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>doktoranada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>prvoj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>studijskoj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>godini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4D62" w:rsidRPr="003600C0" w:rsidRDefault="00AF4D62" w:rsidP="00AF4D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D62" w:rsidRPr="003600C0" w:rsidRDefault="00AF4D62" w:rsidP="00AF4D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Imenovanje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mentora</w:t>
      </w:r>
      <w:proofErr w:type="spellEnd"/>
      <w:r w:rsidR="003600C0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0C0" w:rsidRPr="003600C0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</w:p>
    <w:p w:rsidR="00AF4D62" w:rsidRPr="003600C0" w:rsidRDefault="00AF4D62" w:rsidP="00AF4D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C0">
        <w:rPr>
          <w:rFonts w:ascii="Times New Roman" w:hAnsi="Times New Roman" w:cs="Times New Roman"/>
          <w:sz w:val="24"/>
          <w:szCs w:val="24"/>
        </w:rPr>
        <w:t xml:space="preserve">Do </w:t>
      </w:r>
      <w:r w:rsidRPr="003600C0"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spellStart"/>
      <w:proofErr w:type="gramStart"/>
      <w:r w:rsidRPr="003600C0">
        <w:rPr>
          <w:rFonts w:ascii="Times New Roman" w:hAnsi="Times New Roman" w:cs="Times New Roman"/>
          <w:b/>
          <w:sz w:val="24"/>
          <w:szCs w:val="24"/>
        </w:rPr>
        <w:t>lipnja</w:t>
      </w:r>
      <w:proofErr w:type="spellEnd"/>
      <w:proofErr w:type="gram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0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600C0">
        <w:rPr>
          <w:rFonts w:ascii="Times New Roman" w:hAnsi="Times New Roman" w:cs="Times New Roman"/>
          <w:sz w:val="24"/>
          <w:szCs w:val="24"/>
        </w:rPr>
        <w:t>doktorand</w:t>
      </w:r>
      <w:proofErr w:type="spellEnd"/>
      <w:proofErr w:type="gramEnd"/>
      <w:r w:rsidRPr="003600C0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doktorskog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doktorskog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) </w:t>
      </w:r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 ObrDR2 -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preuzimanju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>.</w:t>
      </w:r>
      <w:r w:rsidR="003600C0" w:rsidRPr="003600C0">
        <w:rPr>
          <w:rFonts w:ascii="Times New Roman" w:hAnsi="Times New Roman" w:cs="Times New Roman"/>
          <w:sz w:val="24"/>
          <w:szCs w:val="24"/>
        </w:rPr>
        <w:t xml:space="preserve"> </w:t>
      </w:r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0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općem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doktorskog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0C0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razmotriti</w:t>
      </w:r>
      <w:proofErr w:type="spellEnd"/>
      <w:proofErr w:type="gram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donesenu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doktorandu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>.</w:t>
      </w:r>
    </w:p>
    <w:p w:rsidR="00AD7C5A" w:rsidRPr="003600C0" w:rsidRDefault="00AD7C5A" w:rsidP="00AD7C5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B44361" w:rsidRPr="003600C0" w:rsidRDefault="00AF4D62" w:rsidP="00890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Obveze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prethodno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upisu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studijske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AD7C5A" w:rsidRPr="003600C0" w:rsidRDefault="00AD7C5A" w:rsidP="008907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drugu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doktorand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prikupiti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r w:rsidRPr="003600C0">
        <w:rPr>
          <w:rFonts w:ascii="Times New Roman" w:hAnsi="Times New Roman" w:cs="Times New Roman"/>
          <w:b/>
          <w:sz w:val="24"/>
          <w:szCs w:val="24"/>
        </w:rPr>
        <w:t>40 ECTS</w:t>
      </w:r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strukturiranih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>:</w:t>
      </w:r>
    </w:p>
    <w:p w:rsidR="00AD7C5A" w:rsidRPr="003600C0" w:rsidRDefault="00AD7C5A" w:rsidP="00FC410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0C0">
        <w:rPr>
          <w:rFonts w:ascii="Times New Roman" w:hAnsi="Times New Roman" w:cs="Times New Roman"/>
          <w:sz w:val="24"/>
          <w:szCs w:val="24"/>
        </w:rPr>
        <w:t xml:space="preserve">25 ECTS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polaganjem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obveznih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kolegija</w:t>
      </w:r>
      <w:proofErr w:type="spellEnd"/>
    </w:p>
    <w:p w:rsidR="00AD7C5A" w:rsidRPr="003600C0" w:rsidRDefault="00AD7C5A" w:rsidP="00FC410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0C0">
        <w:rPr>
          <w:rFonts w:ascii="Times New Roman" w:hAnsi="Times New Roman" w:cs="Times New Roman"/>
          <w:sz w:val="24"/>
          <w:szCs w:val="24"/>
        </w:rPr>
        <w:t>15 ECTS (</w:t>
      </w:r>
      <w:proofErr w:type="spellStart"/>
      <w:r w:rsidR="00624DFA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izvannastavnim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opisanima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Tabličnom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prikazu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obveznih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 u ECTS </w:t>
      </w:r>
      <w:proofErr w:type="spellStart"/>
      <w:r w:rsidR="00890752" w:rsidRPr="003600C0">
        <w:rPr>
          <w:rFonts w:ascii="Times New Roman" w:hAnsi="Times New Roman" w:cs="Times New Roman"/>
          <w:sz w:val="24"/>
          <w:szCs w:val="24"/>
        </w:rPr>
        <w:t>bodovima</w:t>
      </w:r>
      <w:proofErr w:type="spellEnd"/>
      <w:r w:rsidR="00890752" w:rsidRPr="0036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52" w:rsidRPr="003600C0" w:rsidRDefault="00890752" w:rsidP="00FC410B">
      <w:pPr>
        <w:jc w:val="both"/>
        <w:rPr>
          <w:rFonts w:ascii="Times New Roman" w:hAnsi="Times New Roman" w:cs="Times New Roman"/>
          <w:sz w:val="24"/>
          <w:szCs w:val="24"/>
        </w:rPr>
      </w:pPr>
      <w:r w:rsidRPr="003600C0">
        <w:rPr>
          <w:rFonts w:ascii="Times New Roman" w:hAnsi="Times New Roman" w:cs="Times New Roman"/>
          <w:sz w:val="24"/>
          <w:szCs w:val="24"/>
        </w:rPr>
        <w:t xml:space="preserve">Do </w:t>
      </w:r>
      <w:r w:rsidRPr="003600C0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proofErr w:type="gramStart"/>
      <w:r w:rsidRPr="003600C0">
        <w:rPr>
          <w:rFonts w:ascii="Times New Roman" w:hAnsi="Times New Roman" w:cs="Times New Roman"/>
          <w:b/>
          <w:sz w:val="24"/>
          <w:szCs w:val="24"/>
        </w:rPr>
        <w:t>rujna</w:t>
      </w:r>
      <w:proofErr w:type="spellEnd"/>
      <w:proofErr w:type="gram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0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410B" w:rsidRPr="003600C0">
        <w:rPr>
          <w:rFonts w:ascii="Times New Roman" w:hAnsi="Times New Roman" w:cs="Times New Roman"/>
          <w:sz w:val="24"/>
          <w:szCs w:val="24"/>
        </w:rPr>
        <w:t>doktorand</w:t>
      </w:r>
      <w:proofErr w:type="spellEnd"/>
      <w:proofErr w:type="gramEnd"/>
      <w:r w:rsidRPr="00360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doktorskog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Z</w:t>
      </w:r>
      <w:r w:rsidRPr="003600C0">
        <w:rPr>
          <w:rFonts w:ascii="Times New Roman" w:hAnsi="Times New Roman" w:cs="Times New Roman"/>
          <w:b/>
          <w:sz w:val="24"/>
          <w:szCs w:val="24"/>
        </w:rPr>
        <w:t>ahtjev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priznavanje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ECTS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Studentov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godišnji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izvještaj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aktivnostima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tijekom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doktorskog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0C0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doktoran</w:t>
      </w:r>
      <w:r w:rsidR="00E8140B" w:rsidRPr="003600C0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odluk</w:t>
      </w:r>
      <w:r w:rsidR="00E8140B" w:rsidRPr="003600C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mu ECTS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bodove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EDE" w:rsidRPr="003600C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443EDE" w:rsidRPr="003600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43EDE" w:rsidRPr="003600C0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443EDE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DE" w:rsidRPr="003600C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443EDE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DE" w:rsidRPr="003600C0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443EDE" w:rsidRPr="003600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doktorandu</w:t>
      </w:r>
      <w:proofErr w:type="spellEnd"/>
      <w:r w:rsidR="00443EDE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DE" w:rsidRPr="003600C0"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 w:rsidR="00443EDE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DE" w:rsidRPr="003600C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443EDE" w:rsidRPr="003600C0">
        <w:rPr>
          <w:rFonts w:ascii="Times New Roman" w:hAnsi="Times New Roman" w:cs="Times New Roman"/>
          <w:sz w:val="24"/>
          <w:szCs w:val="24"/>
        </w:rPr>
        <w:t>.</w:t>
      </w:r>
    </w:p>
    <w:p w:rsidR="00890752" w:rsidRPr="003600C0" w:rsidRDefault="00890752" w:rsidP="00FC4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Uvjet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drugu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studijsku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600C0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pozitivna</w:t>
      </w:r>
      <w:proofErr w:type="spellEnd"/>
      <w:proofErr w:type="gram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ocjena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Studentovog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godišnjeg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aktivnostima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tijekom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="00E8140B"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0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priznato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minimalno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40 ECTS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prethodno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navedenih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b/>
          <w:sz w:val="24"/>
          <w:szCs w:val="24"/>
        </w:rPr>
        <w:t>kategorija</w:t>
      </w:r>
      <w:proofErr w:type="spellEnd"/>
      <w:r w:rsidRPr="003600C0">
        <w:rPr>
          <w:rFonts w:ascii="Times New Roman" w:hAnsi="Times New Roman" w:cs="Times New Roman"/>
          <w:b/>
          <w:sz w:val="24"/>
          <w:szCs w:val="24"/>
        </w:rPr>
        <w:t>.</w:t>
      </w:r>
    </w:p>
    <w:p w:rsidR="00890752" w:rsidRPr="003600C0" w:rsidRDefault="00890752" w:rsidP="00890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DE" w:rsidRPr="003600C0" w:rsidRDefault="00890752" w:rsidP="00FC410B">
      <w:pPr>
        <w:pStyle w:val="Bezproreda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Zahtj</w:t>
      </w:r>
      <w:r w:rsidR="00E8140B" w:rsidRPr="003600C0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priznavanje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ECTS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r w:rsidR="003600C0" w:rsidRPr="003600C0">
        <w:rPr>
          <w:rFonts w:ascii="Times New Roman" w:hAnsi="Times New Roman" w:cs="Times New Roman"/>
          <w:sz w:val="24"/>
          <w:szCs w:val="24"/>
        </w:rPr>
        <w:t xml:space="preserve">– </w:t>
      </w:r>
      <w:r w:rsidR="00E8140B" w:rsidRPr="003600C0">
        <w:rPr>
          <w:rFonts w:ascii="Times New Roman" w:hAnsi="Times New Roman" w:cs="Times New Roman"/>
          <w:sz w:val="24"/>
          <w:szCs w:val="24"/>
        </w:rPr>
        <w:t>ObrDR</w:t>
      </w:r>
      <w:r w:rsidR="003600C0" w:rsidRPr="003600C0">
        <w:rPr>
          <w:rFonts w:ascii="Times New Roman" w:hAnsi="Times New Roman" w:cs="Times New Roman"/>
          <w:sz w:val="24"/>
          <w:szCs w:val="24"/>
        </w:rPr>
        <w:t>5</w:t>
      </w:r>
      <w:r w:rsidR="00E8140B" w:rsidRPr="003600C0">
        <w:rPr>
          <w:rFonts w:ascii="Times New Roman" w:hAnsi="Times New Roman" w:cs="Times New Roman"/>
          <w:sz w:val="24"/>
          <w:szCs w:val="24"/>
        </w:rPr>
        <w:t>,</w:t>
      </w:r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Studentov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ObrDR</w:t>
      </w:r>
      <w:r w:rsidR="003600C0" w:rsidRPr="003600C0">
        <w:rPr>
          <w:rFonts w:ascii="Times New Roman" w:hAnsi="Times New Roman" w:cs="Times New Roman"/>
          <w:sz w:val="24"/>
          <w:szCs w:val="24"/>
        </w:rPr>
        <w:t>3</w:t>
      </w:r>
      <w:r w:rsidR="00E8140B" w:rsidRPr="003600C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8140B" w:rsidRPr="003600C0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E8140B" w:rsidRPr="003600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preuzimanju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="003600C0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C0"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r w:rsidR="003600C0" w:rsidRPr="003600C0">
        <w:rPr>
          <w:rFonts w:ascii="Times New Roman" w:hAnsi="Times New Roman" w:cs="Times New Roman"/>
          <w:sz w:val="24"/>
          <w:szCs w:val="24"/>
        </w:rPr>
        <w:t xml:space="preserve">– ObrDR2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poslijedip</w:t>
      </w:r>
      <w:r w:rsidR="00A57728" w:rsidRPr="003600C0">
        <w:rPr>
          <w:rFonts w:ascii="Times New Roman" w:hAnsi="Times New Roman" w:cs="Times New Roman"/>
          <w:sz w:val="24"/>
          <w:szCs w:val="24"/>
        </w:rPr>
        <w:t>lomskog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sveučilišnog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doktorskog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C0">
        <w:rPr>
          <w:rFonts w:ascii="Times New Roman" w:hAnsi="Times New Roman" w:cs="Times New Roman"/>
          <w:sz w:val="24"/>
          <w:szCs w:val="24"/>
        </w:rPr>
        <w:t>mre</w:t>
      </w:r>
      <w:r w:rsidR="00A57728" w:rsidRPr="003600C0">
        <w:rPr>
          <w:rFonts w:ascii="Times New Roman" w:hAnsi="Times New Roman" w:cs="Times New Roman"/>
          <w:sz w:val="24"/>
          <w:szCs w:val="24"/>
        </w:rPr>
        <w:t>žnoj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planirane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7728" w:rsidRPr="003600C0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uz</w:t>
      </w:r>
      <w:proofErr w:type="spellEnd"/>
      <w:proofErr w:type="gram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podsjetnih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rokove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28" w:rsidRPr="003600C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A57728" w:rsidRPr="003600C0">
        <w:rPr>
          <w:rFonts w:ascii="Times New Roman" w:hAnsi="Times New Roman" w:cs="Times New Roman"/>
          <w:sz w:val="24"/>
          <w:szCs w:val="24"/>
        </w:rPr>
        <w:t>.</w:t>
      </w:r>
      <w:r w:rsidR="00FC410B" w:rsidRPr="00360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C410B" w:rsidRPr="003600C0"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 w:rsidR="00FC41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0B" w:rsidRPr="00360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41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0B" w:rsidRPr="003600C0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FC41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0B" w:rsidRPr="003600C0">
        <w:rPr>
          <w:rFonts w:ascii="Times New Roman" w:hAnsi="Times New Roman" w:cs="Times New Roman"/>
          <w:sz w:val="24"/>
          <w:szCs w:val="24"/>
        </w:rPr>
        <w:t>detalje</w:t>
      </w:r>
      <w:proofErr w:type="spellEnd"/>
      <w:r w:rsidR="00FC41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0B" w:rsidRPr="003600C0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="00FC41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0B" w:rsidRPr="003600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FC410B" w:rsidRPr="0036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0B" w:rsidRPr="003600C0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FC410B" w:rsidRPr="003600C0">
        <w:rPr>
          <w:rFonts w:ascii="Times New Roman" w:hAnsi="Times New Roman" w:cs="Times New Roman"/>
          <w:sz w:val="24"/>
          <w:szCs w:val="24"/>
        </w:rPr>
        <w:t>).</w:t>
      </w:r>
    </w:p>
    <w:p w:rsidR="00443EDE" w:rsidRPr="003600C0" w:rsidRDefault="00443EDE" w:rsidP="00443EDE">
      <w:pPr>
        <w:rPr>
          <w:rFonts w:ascii="Times New Roman" w:hAnsi="Times New Roman" w:cs="Times New Roman"/>
          <w:sz w:val="24"/>
          <w:szCs w:val="24"/>
        </w:rPr>
      </w:pPr>
    </w:p>
    <w:sectPr w:rsidR="00443EDE" w:rsidRPr="0036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9AC"/>
    <w:multiLevelType w:val="hybridMultilevel"/>
    <w:tmpl w:val="D85CBA64"/>
    <w:lvl w:ilvl="0" w:tplc="D43C9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2CC32C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31C"/>
    <w:multiLevelType w:val="hybridMultilevel"/>
    <w:tmpl w:val="67049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BB3F3D"/>
    <w:multiLevelType w:val="hybridMultilevel"/>
    <w:tmpl w:val="86946344"/>
    <w:lvl w:ilvl="0" w:tplc="D43C9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46B0"/>
    <w:multiLevelType w:val="hybridMultilevel"/>
    <w:tmpl w:val="8F76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6EDB"/>
    <w:multiLevelType w:val="hybridMultilevel"/>
    <w:tmpl w:val="A61C1216"/>
    <w:lvl w:ilvl="0" w:tplc="D43C9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595D"/>
    <w:multiLevelType w:val="hybridMultilevel"/>
    <w:tmpl w:val="671E4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A19E6"/>
    <w:multiLevelType w:val="hybridMultilevel"/>
    <w:tmpl w:val="DD127EF2"/>
    <w:lvl w:ilvl="0" w:tplc="DD30F8FE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6D82B9C"/>
    <w:multiLevelType w:val="hybridMultilevel"/>
    <w:tmpl w:val="833A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BB9"/>
    <w:multiLevelType w:val="hybridMultilevel"/>
    <w:tmpl w:val="53381F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E3C0D"/>
    <w:multiLevelType w:val="hybridMultilevel"/>
    <w:tmpl w:val="EA30B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F73E31"/>
    <w:multiLevelType w:val="hybridMultilevel"/>
    <w:tmpl w:val="036228C6"/>
    <w:lvl w:ilvl="0" w:tplc="5CF0F5B4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7E5B"/>
    <w:multiLevelType w:val="hybridMultilevel"/>
    <w:tmpl w:val="DB504B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BA8952E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FD0569"/>
    <w:multiLevelType w:val="hybridMultilevel"/>
    <w:tmpl w:val="3760C2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D4BB7"/>
    <w:multiLevelType w:val="hybridMultilevel"/>
    <w:tmpl w:val="EBA261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51"/>
    <w:rsid w:val="001C75FD"/>
    <w:rsid w:val="003600C0"/>
    <w:rsid w:val="00443EDE"/>
    <w:rsid w:val="00624DFA"/>
    <w:rsid w:val="006F0B73"/>
    <w:rsid w:val="00746B40"/>
    <w:rsid w:val="00777451"/>
    <w:rsid w:val="007A7B47"/>
    <w:rsid w:val="00890752"/>
    <w:rsid w:val="008C11D4"/>
    <w:rsid w:val="009A33C7"/>
    <w:rsid w:val="00A57728"/>
    <w:rsid w:val="00AD7C5A"/>
    <w:rsid w:val="00AF4D62"/>
    <w:rsid w:val="00B44361"/>
    <w:rsid w:val="00BC78C0"/>
    <w:rsid w:val="00D51694"/>
    <w:rsid w:val="00DC6FFD"/>
    <w:rsid w:val="00E8140B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D03A"/>
  <w15:chartTrackingRefBased/>
  <w15:docId w15:val="{4A62C5D0-6A96-45EA-A94E-10BC564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694"/>
    <w:pPr>
      <w:ind w:left="720"/>
      <w:contextualSpacing/>
    </w:pPr>
  </w:style>
  <w:style w:type="paragraph" w:styleId="Bezproreda">
    <w:name w:val="No Spacing"/>
    <w:uiPriority w:val="1"/>
    <w:qFormat/>
    <w:rsid w:val="00A577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cp:lastPrinted>2021-06-11T09:17:00Z</cp:lastPrinted>
  <dcterms:created xsi:type="dcterms:W3CDTF">2021-03-24T07:49:00Z</dcterms:created>
  <dcterms:modified xsi:type="dcterms:W3CDTF">2021-06-11T09:18:00Z</dcterms:modified>
</cp:coreProperties>
</file>